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406</w:t>
      </w:r>
    </w:p>
    <w:p>
      <w:r>
        <w:t>Bundesgericht (BGE), 1998-06-25, DE</w:t>
      </w:r>
    </w:p>
    <w:p>
      <w:r>
        <w:rPr>
          <w:b/>
        </w:rPr>
        <w:t xml:space="preserve">Quelle: </w:t>
      </w:r>
      <w:r>
        <w:t>https://mcp.opencaselaw.ch/entscheid/bge_124 III 406</w:t>
      </w:r>
    </w:p>
    <w:p>
      <w:r>
        <w:t>FR: ATF 124 III 406</w:t>
      </w:r>
    </w:p>
    <w:p>
      <w:r>
        <w:t>IT: DTF 124 III 406</w:t>
      </w:r>
    </w:p>
    <w:p>
      <w:pPr>
        <w:pStyle w:val="Heading2"/>
      </w:pPr>
      <w:r>
        <w:t>Regeste</w:t>
      </w:r>
    </w:p>
    <w:p>
      <w:r>
        <w:t>Regeste Berufung gegen ein Teilurteil, in dem die Gültigkeit von zwei Testamenten nur bezüglich des zuletzt verfassten beurteilt worden war (Art. 48 Abs. 1 OG und Art. 50 Abs. 1 OG); Auslegung dieses Testamentes. Gegen ein Teilurteil betreffend die Ungültigkeit von Testamenten im Rahmen einer Klage auf Teilung des Nachlasses ist die Berufung zulässig (E. 1a). Ist das Urteil bezüglich der Gültigkeit des letzten Testamentes berufungsfähig, so ist auch die Berufung gegen den Nichteintretensbeschluss hinsichtlich des älteren Testamentes zulässig; denn die innere Verknüpfung zwischen den beiden letztwilligen Verfügungen und den darauf beruhenden Entscheiden verbietet endgültig, dass der gleiche Anspruch nochmals geltend gemacht werden kann (E. 1b). Ob ein Testament gültig ist, es insbesondere überhaupt einen materiellen Inhalt aufweist, entscheidet sich aufgrund der gesamten eigenhändigen Aufzeichnungen des Erblassers. Hat dieser in einem früheren Testament eine Abänderung vorgenommen und diese im letzten für gültig erklärt, kann im Rahmen der Auslegung, welche Testamente nach dem Willen des Erblassers aufgehoben sind, das frühere unbekümmert um seine Rechtswirksamkeit herangezogen werden (E. 3).</w:t>
      </w:r>
    </w:p>
    <w:p>
      <w:pPr>
        <w:pStyle w:val="Heading2"/>
      </w:pPr>
      <w:r>
        <w:t>Erwägungen</w:t>
      </w:r>
    </w:p>
    <w:p>
      <w:r>
        <w:rPr>
          <w:b/>
        </w:rPr>
        <w:t>E. 1</w:t>
      </w:r>
    </w:p>
    <w:p>
      <w:r>
        <w:t>Das Bezirksgericht hat das Verfahren auf die Frage der Gültigkeit der beiden letztwilligen Verfügungen vom 14. Juni und 26. Juli 1989 beschränkt und wie in der Folge auch das Obergericht bloss darüber, nicht aber über die weiteren Begehren, insbesondere jenes auf Teilung des Nachlasses, befunden. a) Ob Testamente gültig sind, bildet materiellrechtliche Vorfrage der Teilung, deren Beantwortung diese präjudiziert. Wird die Gültigkeit des Testaments wie hier zum Gegenstand eines besonderen Rechtsbegehrens neben anderen - insbesondere jenem auf Teilung des Nachlasses - gemacht, so stellt der Entscheid darüber ein Teilurteil, nicht einen Vor- oder Zwischenentscheid dar, falls wie vorliegend die anderen Begehren unbeurteilt geblieben sind; denn es wird über eines der gestellten mehreren Klagebegehren in vollstreckungsfähiger Erledigung, nicht lediglich über eine streitige, Prozess- oder Anspruchsvoraussetzungen betreffende Vor- oder Zwischenfrage entschieden, von deren Beantwortung zwar das Schicksal von Klagebegehren abhängt, die aber unbeurteilt bleiben ( BGE 104 II 285 E. 1b; BGE 107 II 352 E. 2, je mit Hinweisen; POUDRET, Commentaire de la loi fédérale d'organisation judiciaire, N. 1.1.7.1 zu Art. 48 OG ; MESSMER/IMBODEN, Die eidgenössischen Rechtsmittel in Zivilsachen, Ziff. 69, S. 97; WURZBURGER, Les conditions objectives du recours en réforme au Tribunal fédéral, S. 196 Nr. 267; VOGEL, Grundriss des Zivilprozessrechts, 4. Auflage 1997, 7. Kapitel, N. 95; FRANK/STRÄULI/MESSMER, Kommentar zur zürcherischen Zivilprozessordnung, 3. Auflage 1997, N. 2 f. zu § 189 ZPO /ZH). Teilurteile sind mit Berufung selbständig anfechtbar, wenn die davon erfassten Begehren zum Gegenstand eines gesonderten Prozesses hätten gemacht werden können, und deren Beurteilung für den Entscheid über die verbleibenden Begehren präjudiziell ist ( BGE 123 III 140 E. 2a; BGE 117 II 349 E. 2a, je mit Hinweisen). Das Begehren auf Ungültigerklärung der beiden Testamente hätte für sich allein, also nicht notwendigerweise und nur im Zusammenhang mit anderen Begehren, insbesondere jenem auf Teilung des Nachlasses, anhängig gemacht werden können; dessen Beurteilung präjudiziert BGE 124 III 406 S. 410 den Entscheid über die restlichen Begehren, zumal sich je danach, ob der Betreffende als Erbe am Nachlass überhaupt beteiligt ist, die Teilungsquoten und -betreffnisse verändern. Das Obergericht stellt unwidersprochen fest, mit der vorgängigen Beurteilung der Gültigkeit der beiden Testamente könne in erheblichem Masse Kosten und Zeit gespart werden. Es kann daher offen gelassen werden, ob das für die Anfechtung anderer selbständiger Vor- oder Zwischenentscheide gemäss Art. 50 Abs. 1 OG verlangte Erfordernis, es müsse ein bedeutender Aufwand an Zeit und Kosten für ein weitläufiges Beweisverfahren erspart werden können, so dass die gesonderte Anrufung des Bundesgerichts gerechtfertigt erscheine, in der Regel auch für Teilurteile gelte ( BGE 123 III 140 E. 2a mit Hinweisen). Die Pflicht zur Begründung des Vorliegens der besonderen Eintretensvoraussetzungen des Art. 50 Abs. 1 OG ( BGE 118 II 91 E. 1a), die im Übrigen in der Literatur unter Hinweis auf Art. 55 Abs. 1 OG in Frage gestellt wird (POUDRET, a.a.O., N. 2.6 zu Art. 50 OG ; BIRCHMEIER, SJK 937 S. 7 Ziff. 5; WURZBURGER, a.a.O., S. 295 Nr. 309 und S. 11 Nr. 9), kann nicht, jedenfalls nicht ohne weiteres auch für Teilurteile bejaht werden, die unter Art. 48 OG fallen ( BGE 104 II 285 E. 1b); denn diese Bestimmung enthält keinerlei Art. 50 Abs. 1 OG entsprechende Vorbehalte. Die Eintretensvoraussetzungen nicht besonders begründet zu haben, kann dem Kläger daher nicht schaden, umso mehr als die Zulässigkeit der Berufung von Amtes wegen und frei zu prüfen ist ( BGE 120 II 270 E. 1 und 352 E. 1, je mit Hinweisen). b) Der Entscheid des Obergerichts ist in zwei mit unterschiedlicher Rechtsmittelbelehrung versehene Teile gegliedert: einen Beschluss, durch welchen auf das Begehren, die letztwillige Verfügung vom 14. Juni 1989 ungültig zu erklären, nicht eingetreten wird, und ein Urteil, durch welches das Begehren, die letztwillige Verfügung vom 26. Juli 1989 ungültig zu erklären, abgewiesen und deren Gültigkeit festgestellt wird. Der Kläger ficht beide mit Berufung an. Aus der allenfalls unrichtigen Rechtsmittelbelehrung im Beschluss des Obergerichts, welche das Bundesgericht ohnehin nicht zu binden vermöchte, kann dem Kläger daher kein Nachteil erwachsen sein, der zu beheben wäre ( BGE 117 II 508 E. 2 S. 511 mit Hinweisen). Beim Erkenntnis, die letztwillige Verfügung vom 26. Juli 1989 sei gültig, handelt es sich um einen Entscheid, durch den materiell in der Sache befunden worden ist; als solches kann es mit Berufung angefochten werden ( BGE 122 III 92 E. 2a). Berufungsfähig wäre BGE 124 III 406 S. 411 - ebenso für sich allein betrachtet - der Nichteintretensbeschluss, sofern durch diesen die Beurteilung der Gültigkeit des Testamentes vom 14. Juni 1989 aus einem Grund abgelehnt worden wäre, der endgültig verbietet, dass der gleiche Anspruch nochmals geltend gemacht werden kann ( BGE 120 II 352 E. 1b mit Hinweisen). Ist dieses Erfordernis strikt und in dem Sinne zu verstehen, dass nur die allein und unmittelbar aus diesem Grund sich ergebende rechtliche Unmöglichkeit erneuter Klageanhebung beachtlich ist ( BGE 86 II 123 ), wäre es durch den Nichteintretensbeschluss nicht erfüllt; und das Gleiche gälte bei fehlendem Rechtsschutzinteresse. Bei dieser restriktiven Zulassungspraxis, welche von POUDRET (a.a.O., N. 1.1.4 zu Art. 48 OG ) kritisiert wird, wäre fraglich, ob nicht auch eine im Zusammenwirken mit anderen Gründen eingetretene rechtliche Unmöglichkeit (z.B. die Verjährung nach Art. 521 ZGB ) zu verhindern vermöchte, dass der materielle Anspruch erneut Gegenstand eines Prozesses werde. Nichts schliesst jedoch aus, dass sich das Rechtsschutzinteresse nachträglich einstellen kann. Vorliegend besteht indessen eine besondere Konstellation, indem in ein und demselben, auf die Frage der Gültigkeit der beiden letztwilligen Verfügungen beschränkten Verfahren durch einen einzigen Entscheid - allerdings in Beschluss und Urteil aufgegliedert - über die beiden Ungültigkeitsbegehren befunden worden ist; letztere hängen insofern voneinander ab, als die Abweisung des Ungültigkeitsbegehrens betreffend das Testament vom 26. Juli 1989 notwendigerweise das Rechtsschutzinteresse für das Ungültigkeitsbegehren betreffend die letztwillige Verfügung vom 14. Juni 1989 dahinfallen lässt. Diese innere Verknüpfung erlaubt eine getrennte, voneinander losgelöste Betrachtungsweise nicht, welche dazu führte, dass auf die gegen den Nichteintretensbeschluss gerichtete Berufung mangels Endgültigkeit desselben, damit aber auch auf die Berufung gegen die Feststellung der Gültigkeit der letztwilligen Verfügung vom 26. Juli 1989 nicht eingetreten werden könnte. Für deren Beurteilung mangelte das Interesse, wenn die Ungültigkeit des Testaments vom 14. Juni 1989, welches die Anordnung der gesetzlichen Erbfolgen enthält, nicht festgestellt, dieses also als gültig zu betrachten wäre. Solange das Urteil, die letztwillige Verfügung vom 26. Juli 1989 sei gültig, besteht - und das trifft bei Prüfung der Eintretensvoraussetzungen unbekümmert darum zu, ob es bei Abschluss des Berufungsverfahrens noch Bestand habe -, ist ein Nichteintreten auf das Ungültigkeitsbegehren bezüglich des Testaments vom 14. Juni 1989 ausgeschlossen. Denn der Konnex zwischen den BGE 124 III 406 S. 412 beiden letztwilligen Verfügungen und den darauf beruhenden Entscheiden verbietet endgültig, dass der gleiche Anspruch nochmals geltend gemacht werden kann. Auch auf die gegen den Nichteintretensbeschluss gerichtete Berufung ist deshalb einzutreten. c) Der für die Berufung erforderliche, wenigstens Fr. 8'000.-- betragende Streitwert ist erreicht. d) Soweit die Berufungsanträge über die Begehren auf Ungültigkeitserklärung der letztwilligen Verfügungen vom 14. Juni und 26. Juli 1989 hinausgehen, auf deren Beurteilung das kantonale Verfahren beschränkt worden ist, kann auf die Berufung nicht eingetreten werden.</w:t>
      </w:r>
    </w:p>
    <w:p>
      <w:r>
        <w:rPr>
          <w:b/>
        </w:rPr>
        <w:t>E. 3</w:t>
      </w:r>
    </w:p>
    <w:p>
      <w:r>
        <w:t>Die letztwillige Verfügung vom 26. Juli 1989 ist vom Erblasser mit "Testamentaufhebung" überschrieben, und er bestätigt im Folgenden darin, dass er die am 14. Juni 1989 geschriebene Abänderung - womit er anerkanntermassen jene in seiner letztwilligen Verfügung vom 14. Juni 1989 meint - als gültig erkläre. Das Obergericht schränkt die Prüfung der Gültigkeit der letztwilligen Verfügung vom 26. Juli 1989 auf diese Bestätigung ein. Das erweist sich im Ansatz als unzutreffend; ob ein Testament gültig ist, es insbesondere überhaupt einen materiellen Inhalt aufweist, entscheidet sich aufgrund der gesamten eigenhändigen Aufzeichnung des Erblassers, wenn es wie hier insgesamt den Formerfordernissen genügt. Als Ganzes betrachtet weist die letztwillige Verfügung vom 26. Juli 1989 sehr wohl eine erbrechtliche Anordnung minimalen materiellen Inhalts auf, infolge ihrer dahingehenden Kennzeichnung nämlich den erklärten Willen des Erblassers einer Testamentaufhebung; sie ist so betrachtet also nicht inhaltslos, wie der Kläger es geltend macht, und sie erschöpft sich ebenso wenig in einem blossen Verweis auf eine frühere letztwillige Verfügung. Welche Testamente dieser Wille auf Aufhebung umschliesst, hat der Erblasser in der letztwilligen Verfügung vom 26. Juli 1989 allerdings nicht näher umschrieben. Zur Erhellung dessen, was wie hier als Wille des Erblassers zwar klar, aber in unvollständiger Weise zum Ausdruck gebracht wurde, ist Auslegung zulässig ( BGE 101 II 31 E. 3 S. 35); diese kann jedoch nicht dazu dienen, einen in der letztwilligen Verfügung nicht zum Ausdruck gebrachten Willen des Erblassers in diese einzuführen ( BGE 109 II 403 E. 2b S. 406 mit Hinweisen). Bei Auslegung der Willenserklärung ist der Gesamtheit des Testaments Rechnung zu tragen, und es können auch ausserhalb der Testamentsurkunde liegende Elemente, Umstände und Beweismittel dazu herangezogen werden ( BGE 120 II 182 E. 2a und BGE 117 II 142 E. 2a, je BGE 124 III 406 S. 413 mit Hinweisen). Wenn der Erblasser in der letztwilligen Verfügung vom 26. Juli 1989, nachdem er den Willen zur Testamentaufhebung geäussert hat, bestätigt, dass er die am 14. Juni 1989 geschriebene Abänderung als gültig erkläre, so ist daraus zweifelsfrei zu entnehmen, dass er gerade diese Abänderung auf keinen Fall aufheben wollte. Als Beweismittel für den Inhalt der Abänderung, die in der letztwilligen Verfügung vom 26. Juli 1989 auch nicht ansatzweise wiedergegeben wird, beispielsweise durch Bezugnahme auf die gesetzliche Erbfolge, kann im Rahmen der Auslegung, welche Testamente nach dem Willen des Erblassers aufgehoben sind, die letztwillige Verfügung vom 14. Juli 1989 unbekümmert darum, ob sie als solche rechtswirksam ist oder nicht, ohne weiteres herangezogen werden. Aus dieser geht hervor, dass die früheren letztwilligen Verfügungen widerrufen sind und in Bezug auf den Nachlass die gesetzliche Regelung gelten soll. Ging der vom Erblasser in der letztwilligen Verfügung vom 26. Juli 1989 geäusserte Wille auf Testamentaufhebung, gemäss dessen Auslegung aber nicht auf Aufhebung der Abänderung, durch welche er die gesetzliche Erbfolge in seinen Nachlass angeordnet hatte, so bleibt als Ergebnis der Auslegung, dass nach dem Willen des Erblassers lediglich alle übrigen letztwilligen Verfügungen aufgehoben sind. Das führt zur gesetzlichen Erbfolge und damit zur Abweisung der Ungültigkeitsklage betreffend die letztwillige Verfügung vom 26. Juli 1989. Dann bleibt es aber auch beim Nichteintreten auf die Ungültigkeitsklage betreffend die letztwillige Verfügung vom 14. Juni 1989, für welche jedes Rechtsschutzinteresse fehlt, wenn sich der Wille des Erblassers der gültigen letztwilligen Verfügung vom 26. Juli 1989 entnehmen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